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Additional information about the Contract Notice</w:t>
      </w:r>
    </w:p>
    <w:p w:rsidR="00000000" w:rsidDel="00000000" w:rsidP="00000000" w:rsidRDefault="00000000" w:rsidRPr="00000000" w14:paraId="00000002">
      <w:pPr>
        <w:spacing w:after="0" w:lineRule="auto"/>
        <w:jc w:val="center"/>
        <w:rPr>
          <w:b w:val="1"/>
          <w:sz w:val="22"/>
          <w:szCs w:val="22"/>
        </w:rPr>
      </w:pPr>
      <w:r w:rsidDel="00000000" w:rsidR="00000000" w:rsidRPr="00000000">
        <w:rPr>
          <w:rtl w:val="0"/>
        </w:rPr>
      </w:r>
    </w:p>
    <w:p w:rsidR="00000000" w:rsidDel="00000000" w:rsidP="00000000" w:rsidRDefault="00000000" w:rsidRPr="00000000" w14:paraId="00000003">
      <w:pPr>
        <w:spacing w:after="0" w:lineRule="auto"/>
        <w:jc w:val="center"/>
        <w:rPr>
          <w:b w:val="1"/>
          <w:sz w:val="22"/>
          <w:szCs w:val="22"/>
        </w:rPr>
      </w:pPr>
      <w:r w:rsidDel="00000000" w:rsidR="00000000" w:rsidRPr="00000000">
        <w:rPr>
          <w:b w:val="1"/>
          <w:sz w:val="22"/>
          <w:szCs w:val="22"/>
          <w:rtl w:val="0"/>
        </w:rPr>
        <w:t xml:space="preserve">EU Support to Migration Management in Serbia – Reception and protection services II /</w:t>
      </w:r>
    </w:p>
    <w:p w:rsidR="00000000" w:rsidDel="00000000" w:rsidP="00000000" w:rsidRDefault="00000000" w:rsidRPr="00000000" w14:paraId="00000004">
      <w:pPr>
        <w:spacing w:after="240" w:lineRule="auto"/>
        <w:jc w:val="center"/>
        <w:rPr>
          <w:b w:val="1"/>
          <w:i w:val="1"/>
          <w:sz w:val="28"/>
          <w:szCs w:val="28"/>
        </w:rPr>
      </w:pPr>
      <w:r w:rsidDel="00000000" w:rsidR="00000000" w:rsidRPr="00000000">
        <w:rPr>
          <w:b w:val="1"/>
          <w:i w:val="1"/>
          <w:sz w:val="28"/>
          <w:szCs w:val="28"/>
          <w:rtl w:val="0"/>
        </w:rPr>
        <w:t xml:space="preserve">“Supply of Vehicles”</w:t>
      </w:r>
    </w:p>
    <w:p w:rsidR="00000000" w:rsidDel="00000000" w:rsidP="00000000" w:rsidRDefault="00000000" w:rsidRPr="00000000" w14:paraId="00000005">
      <w:pPr>
        <w:spacing w:after="240" w:lineRule="auto"/>
        <w:jc w:val="center"/>
        <w:rPr>
          <w:sz w:val="28"/>
          <w:szCs w:val="28"/>
        </w:rPr>
      </w:pPr>
      <w:r w:rsidDel="00000000" w:rsidR="00000000" w:rsidRPr="00000000">
        <w:rPr>
          <w:b w:val="1"/>
          <w:sz w:val="28"/>
          <w:szCs w:val="28"/>
          <w:rtl w:val="0"/>
        </w:rPr>
        <w:t xml:space="preserve">Location – </w:t>
      </w:r>
      <w:r w:rsidDel="00000000" w:rsidR="00000000" w:rsidRPr="00000000">
        <w:rPr>
          <w:i w:val="0"/>
          <w:sz w:val="28"/>
          <w:szCs w:val="28"/>
          <w:rtl w:val="0"/>
        </w:rPr>
        <w:t xml:space="preserve">Republic of Serbia</w:t>
      </w: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Nature of contract</w:t>
      </w:r>
      <w:r w:rsidDel="00000000" w:rsidR="00000000" w:rsidRPr="00000000">
        <w:rPr>
          <w:rtl w:val="0"/>
        </w:rPr>
      </w:r>
    </w:p>
    <w:p w:rsidR="00000000" w:rsidDel="00000000" w:rsidP="00000000" w:rsidRDefault="00000000" w:rsidRPr="00000000" w14:paraId="00000007">
      <w:pPr>
        <w:ind w:firstLine="426"/>
        <w:rPr>
          <w:b w:val="0"/>
          <w:sz w:val="22"/>
          <w:szCs w:val="22"/>
        </w:rPr>
      </w:pPr>
      <w:r w:rsidDel="00000000" w:rsidR="00000000" w:rsidRPr="00000000">
        <w:rPr>
          <w:b w:val="0"/>
          <w:sz w:val="22"/>
          <w:szCs w:val="22"/>
          <w:rtl w:val="0"/>
        </w:rPr>
        <w:t xml:space="preserve">Unit price</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Programme title</w:t>
      </w:r>
    </w:p>
    <w:p w:rsidR="00000000" w:rsidDel="00000000" w:rsidP="00000000" w:rsidRDefault="00000000" w:rsidRPr="00000000" w14:paraId="00000009">
      <w:pPr>
        <w:ind w:left="426" w:firstLine="0"/>
        <w:rPr>
          <w:sz w:val="22"/>
          <w:szCs w:val="22"/>
        </w:rPr>
      </w:pPr>
      <w:r w:rsidDel="00000000" w:rsidR="00000000" w:rsidRPr="00000000">
        <w:rPr>
          <w:sz w:val="22"/>
          <w:szCs w:val="22"/>
          <w:rtl w:val="0"/>
        </w:rPr>
        <w:t xml:space="preserve">Special Measure on the continuation of support to the response capacity of the Republic of Serbia to Manage Effectively Mixed Migration Flows, IPA II. </w:t>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Financing</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26"/>
        </w:tabs>
        <w:spacing w:after="0" w:before="0" w:line="240" w:lineRule="auto"/>
        <w:ind w:left="425"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project is financed by the European Union, represented by the Delegation of the European Union to the Republic of Serbia on behalf of and for the account of the government of the Republic of Serbia under the Pre-Accession Assistance, IPA II.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0" w:right="36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“EU Support to Migration Management in Serbia - Reception and protection services II”, Budget line 3.1 Purchase of vehicles</w:t>
      </w: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Eligibility and rules of origin</w:t>
      </w:r>
    </w:p>
    <w:p w:rsidR="00000000" w:rsidDel="00000000" w:rsidP="00000000" w:rsidRDefault="00000000" w:rsidRPr="00000000" w14:paraId="0000000E">
      <w:pPr>
        <w:widowControl w:val="1"/>
        <w:spacing w:after="120" w:before="0" w:lineRule="auto"/>
        <w:ind w:left="426" w:firstLine="0"/>
        <w:jc w:val="both"/>
        <w:rPr>
          <w:sz w:val="22"/>
          <w:szCs w:val="22"/>
        </w:rPr>
      </w:pPr>
      <w:r w:rsidDel="00000000" w:rsidR="00000000" w:rsidRPr="00000000">
        <w:rPr>
          <w:sz w:val="22"/>
          <w:szCs w:val="22"/>
          <w:rtl w:val="0"/>
        </w:rPr>
        <w:t xml:space="preserve">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‘Legal basis’ below). Participation is also open to international organisations. </w:t>
      </w:r>
    </w:p>
    <w:p w:rsidR="00000000" w:rsidDel="00000000" w:rsidP="00000000" w:rsidRDefault="00000000" w:rsidRPr="00000000" w14:paraId="0000000F">
      <w:pPr>
        <w:widowControl w:val="1"/>
        <w:spacing w:after="360" w:before="0" w:lineRule="auto"/>
        <w:ind w:left="426" w:right="284" w:firstLine="0"/>
        <w:jc w:val="both"/>
        <w:rPr>
          <w:sz w:val="22"/>
          <w:szCs w:val="22"/>
        </w:rPr>
      </w:pPr>
      <w:r w:rsidDel="00000000" w:rsidR="00000000" w:rsidRPr="00000000">
        <w:rPr>
          <w:sz w:val="22"/>
          <w:szCs w:val="22"/>
          <w:rtl w:val="0"/>
        </w:rPr>
        <w:t xml:space="preserve">All supplies under this contract may originate from any country.</w:t>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Candidature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eligible natural and legal persons (as per item 4 above)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groupings of such persons (consortia) may apply.</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consortium may be a permanent, legally-established grouping or a grouping which has been constituted informally for a specific tender procedure. All partners of a consortium (i.e., the leader and all other partners) are jointly and severally liable to the contracting authority.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participation of an ineligible natural or legal person will result in the automatic exclusion of that person. In particular, if that ineligible person belongs to a consortium, the whole consortium will be excluded. </w:t>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Number of applications or tenders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more than one application or tender can be submitted by a natural or legal person whatever the form of participation (as an individual legal entity or as leader or partner of a consortium submitting an application/tender). In the event that a natural or legal person submits more than one application or tender, all applications or tenders in which that person has participated will be excluded.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case of lots, the candidates or tenderers may submit only one application or tender per lot. Contracts will be awarded lot by lot and each lot will form a separate contract.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for parts of a lot will not be considered. Tenderers may not submit a tender for a variant solution in addition to their tender for the supplies required in the tender dossier.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tenderer may state in its tender that it would offer a discount in the event that its tender is accepted for more than one lot.</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48"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Tender guarantee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1"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No tender guarantee is required.</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Performance guarantee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1" w:firstLine="66.0000000000000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performance guarantee required.</w:t>
      </w:r>
    </w:p>
    <w:p w:rsidR="00000000" w:rsidDel="00000000" w:rsidP="00000000" w:rsidRDefault="00000000" w:rsidRPr="00000000" w14:paraId="0000001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Information meeting and/or site visit</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66.00000000000001"/>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information meeting is planned.</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Tender validity</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must remain valid for a period of 3 months after the deadline for submission of tenders. In exceptional circumstances, the contracting authority may, before the validity period expires, request that tenderers extend the validity of tenders for a specific period. </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Grounds for exclusion</w:t>
      </w:r>
    </w:p>
    <w:p w:rsidR="00000000" w:rsidDel="00000000" w:rsidP="00000000" w:rsidRDefault="00000000" w:rsidRPr="00000000" w14:paraId="00000022">
      <w:pPr>
        <w:ind w:left="426" w:firstLine="0"/>
        <w:jc w:val="both"/>
        <w:rPr>
          <w:b w:val="1"/>
          <w:sz w:val="22"/>
          <w:szCs w:val="22"/>
        </w:rPr>
      </w:pPr>
      <w:r w:rsidDel="00000000" w:rsidR="00000000" w:rsidRPr="00000000">
        <w:rPr>
          <w:sz w:val="22"/>
          <w:szCs w:val="22"/>
          <w:rtl w:val="0"/>
        </w:rPr>
        <w:t xml:space="preserve">Candidates or tenderers must submit a signed declaration, included in the application form or tender form, to the effect that they are not in any of the situations listed in Section 2.6.10.1 of the </w:t>
      </w:r>
      <w:r w:rsidDel="00000000" w:rsidR="00000000" w:rsidRPr="00000000">
        <w:rPr>
          <w:b w:val="1"/>
          <w:sz w:val="22"/>
          <w:szCs w:val="22"/>
          <w:rtl w:val="0"/>
        </w:rPr>
        <w:t xml:space="preserve">practical guide (PRAG). </w:t>
      </w:r>
      <w:r w:rsidDel="00000000" w:rsidR="00000000" w:rsidRPr="00000000">
        <w:rPr>
          <w:sz w:val="22"/>
          <w:szCs w:val="22"/>
          <w:rtl w:val="0"/>
        </w:rPr>
        <w:t xml:space="preserve">Where the candidate or tenderer intends to rely on capacity providing entities or subcontractor(s), he/she must provide the same declaration signed by this/these entity(ies).</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Candidates or tenderers included in the lists of EU restrictive measures (see Section 2.4. of the PRAG) at the moment of the award decision cannot be awarded the contract.</w:t>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Sub-contracting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Sub-contracting is allowed. </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Provisional commencement date of the contract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January 2022</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eriod of implementation of tasks</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 shall enter into force on the date when the second of the two contracting parties sign. The implementation period shall be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months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implementation of tasks shall begin with the commence order issued by the Contracting Authority and under no circumstances before the date on which the Contract enters into force.</w:t>
      </w:r>
    </w:p>
    <w:p w:rsidR="00000000" w:rsidDel="00000000" w:rsidP="00000000" w:rsidRDefault="00000000" w:rsidRPr="00000000" w14:paraId="0000002B">
      <w:pPr>
        <w:keepNext w:val="1"/>
        <w:keepLines w:val="1"/>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12700"/>
                <wp:effectExtent b="0" l="0" r="0" t="0"/>
                <wp:wrapNone/>
                <wp:docPr id="1" name=""/>
                <a:graphic>
                  <a:graphicData uri="http://schemas.microsoft.com/office/word/2010/wordprocessingShape">
                    <wps:wsp>
                      <wps:cNvSpPr/>
                      <wps:cNvPr id="2" name="Shape 2"/>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127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22225" cy="12700"/>
                        </a:xfrm>
                        <a:prstGeom prst="rect"/>
                        <a:ln/>
                      </pic:spPr>
                    </pic:pic>
                  </a:graphicData>
                </a:graphic>
              </wp:anchor>
            </w:drawing>
          </mc:Fallback>
        </mc:AlternateContent>
      </w:r>
    </w:p>
    <w:p w:rsidR="00000000" w:rsidDel="00000000" w:rsidP="00000000" w:rsidRDefault="00000000" w:rsidRPr="00000000" w14:paraId="0000002C">
      <w:pPr>
        <w:keepNext w:val="1"/>
        <w:keepLines w:val="1"/>
        <w:ind w:left="360" w:firstLine="0"/>
        <w:jc w:val="center"/>
        <w:rPr>
          <w:b w:val="1"/>
          <w:sz w:val="22"/>
          <w:szCs w:val="22"/>
        </w:rPr>
      </w:pPr>
      <w:r w:rsidDel="00000000" w:rsidR="00000000" w:rsidRPr="00000000">
        <w:rPr>
          <w:b w:val="1"/>
          <w:sz w:val="22"/>
          <w:szCs w:val="22"/>
          <w:rtl w:val="0"/>
        </w:rPr>
        <w:t xml:space="preserve">SELECTION AND AWARD CRITERIA</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Selection criteria</w:t>
      </w:r>
    </w:p>
    <w:p w:rsidR="00000000" w:rsidDel="00000000" w:rsidP="00000000" w:rsidRDefault="00000000" w:rsidRPr="00000000" w14:paraId="0000002E">
      <w:pPr>
        <w:spacing w:after="0" w:before="240" w:lineRule="auto"/>
        <w:ind w:left="426" w:right="-48" w:firstLine="0"/>
        <w:jc w:val="both"/>
        <w:rPr>
          <w:sz w:val="22"/>
          <w:szCs w:val="22"/>
        </w:rPr>
      </w:pPr>
      <w:r w:rsidDel="00000000" w:rsidR="00000000" w:rsidRPr="00000000">
        <w:rPr>
          <w:sz w:val="22"/>
          <w:szCs w:val="22"/>
          <w:rtl w:val="0"/>
        </w:rPr>
        <w:t xml:space="preserve">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rsidR="00000000" w:rsidDel="00000000" w:rsidP="00000000" w:rsidRDefault="00000000" w:rsidRPr="00000000" w14:paraId="0000002F">
      <w:pPr>
        <w:spacing w:after="0" w:before="240" w:lineRule="auto"/>
        <w:ind w:left="426" w:right="-48" w:firstLine="0"/>
        <w:jc w:val="both"/>
        <w:rPr>
          <w:sz w:val="22"/>
          <w:szCs w:val="22"/>
        </w:rPr>
      </w:pPr>
      <w:r w:rsidDel="00000000" w:rsidR="00000000" w:rsidRPr="00000000">
        <w:rPr>
          <w:b w:val="1"/>
          <w:sz w:val="22"/>
          <w:szCs w:val="22"/>
          <w:u w:val="single"/>
          <w:rtl w:val="0"/>
        </w:rPr>
        <w:t xml:space="preserve">1)</w:t>
      </w:r>
      <w:r w:rsidDel="00000000" w:rsidR="00000000" w:rsidRPr="00000000">
        <w:rPr>
          <w:sz w:val="22"/>
          <w:szCs w:val="22"/>
          <w:rtl w:val="0"/>
        </w:rPr>
        <w:t xml:space="preserve"> </w:t>
      </w:r>
      <w:r w:rsidDel="00000000" w:rsidR="00000000" w:rsidRPr="00000000">
        <w:rPr>
          <w:b w:val="1"/>
          <w:sz w:val="22"/>
          <w:szCs w:val="22"/>
          <w:u w:val="single"/>
          <w:rtl w:val="0"/>
        </w:rPr>
        <w:t xml:space="preserve">Economic and financial capacity</w:t>
      </w:r>
      <w:r w:rsidDel="00000000" w:rsidR="00000000" w:rsidRPr="00000000">
        <w:rPr>
          <w:sz w:val="22"/>
          <w:szCs w:val="22"/>
          <w:rtl w:val="0"/>
        </w:rPr>
        <w:t xml:space="preserve"> </w:t>
      </w:r>
      <w:r w:rsidDel="00000000" w:rsidR="00000000" w:rsidRPr="00000000">
        <w:rPr>
          <w:b w:val="1"/>
          <w:sz w:val="22"/>
          <w:szCs w:val="22"/>
          <w:rtl w:val="0"/>
        </w:rPr>
        <w:t xml:space="preserve">(</w:t>
      </w:r>
      <w:r w:rsidDel="00000000" w:rsidR="00000000" w:rsidRPr="00000000">
        <w:rPr>
          <w:sz w:val="22"/>
          <w:szCs w:val="22"/>
          <w:rtl w:val="0"/>
        </w:rPr>
        <w:t xml:space="preserve">based on on item 3 of supply tender form). In case of candidate being a public body, equivalent information should be provided. The reference period which will be taken into account will be the </w:t>
      </w:r>
      <w:r w:rsidDel="00000000" w:rsidR="00000000" w:rsidRPr="00000000">
        <w:rPr>
          <w:b w:val="1"/>
          <w:sz w:val="22"/>
          <w:szCs w:val="22"/>
          <w:rtl w:val="0"/>
        </w:rPr>
        <w:t xml:space="preserve">last three financial year</w:t>
      </w:r>
      <w:r w:rsidDel="00000000" w:rsidR="00000000" w:rsidRPr="00000000">
        <w:rPr>
          <w:sz w:val="22"/>
          <w:szCs w:val="22"/>
          <w:rtl w:val="0"/>
        </w:rPr>
        <w:t xml:space="preserve"> for which accounts have been closed.</w:t>
      </w:r>
    </w:p>
    <w:p w:rsidR="00000000" w:rsidDel="00000000" w:rsidP="00000000" w:rsidRDefault="00000000" w:rsidRPr="00000000" w14:paraId="00000030">
      <w:pPr>
        <w:ind w:left="414" w:right="1" w:firstLine="720"/>
        <w:rPr>
          <w:sz w:val="22"/>
          <w:szCs w:val="22"/>
        </w:rPr>
      </w:pPr>
      <w:r w:rsidDel="00000000" w:rsidR="00000000" w:rsidRPr="00000000">
        <w:rPr>
          <w:sz w:val="22"/>
          <w:szCs w:val="22"/>
          <w:rtl w:val="0"/>
        </w:rPr>
        <w:t xml:space="preserve">The selection criteria for each tenderer are as follows:</w:t>
      </w:r>
    </w:p>
    <w:p w:rsidR="00000000" w:rsidDel="00000000" w:rsidP="00000000" w:rsidRDefault="00000000" w:rsidRPr="00000000" w14:paraId="00000031">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pos="709"/>
        </w:tabs>
        <w:spacing w:after="100" w:before="100" w:line="240" w:lineRule="auto"/>
        <w:ind w:left="1146" w:right="1" w:hanging="43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average turnover of the tenderer for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last 3 (three) years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(i.e. 2020, 2019 and 2018) must exceed 90.000 EUR.</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830" w:right="-48"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830" w:right="-48"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Professional capacity</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(based on items 4 and 5 of the tender form for supply contracts. The reference period which will be taken into account will be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last three years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preceding the submission deadline.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1134" w:right="1" w:hanging="54.0000000000000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Criteria for legal and natural persons: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1080" w:right="26"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2.1 </w:t>
        <w:tab/>
        <w:t xml:space="preserve">at least 3 staff (manager, logistics, sales and similar professions), under a permanent contract, currently work for the tenderer in fields related to this contract;</w:t>
      </w:r>
    </w:p>
    <w:p w:rsidR="00000000" w:rsidDel="00000000" w:rsidP="00000000" w:rsidRDefault="00000000" w:rsidRPr="00000000" w14:paraId="00000036">
      <w:pPr>
        <w:spacing w:after="120" w:lineRule="auto"/>
        <w:ind w:left="1080" w:hanging="370"/>
        <w:jc w:val="both"/>
        <w:rPr>
          <w:sz w:val="22"/>
          <w:szCs w:val="22"/>
        </w:rPr>
      </w:pPr>
      <w:r w:rsidDel="00000000" w:rsidR="00000000" w:rsidRPr="00000000">
        <w:rPr>
          <w:sz w:val="22"/>
          <w:szCs w:val="22"/>
          <w:rtl w:val="0"/>
        </w:rPr>
        <w:t xml:space="preserve">2.2</w:t>
        <w:tab/>
        <w:t xml:space="preserve">Tenderer must have manufacturer’s authorization/ license to sell the vehicle being quoted.</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26" w:firstLine="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10" w:right="357"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tab/>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Technical capacity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(based on items 5 and 6 of the tender form for supply contracts). The reference period which will be taken into account will be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last three years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from submission deadline.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134"/>
        </w:tabs>
        <w:spacing w:after="100" w:before="100" w:line="240" w:lineRule="auto"/>
        <w:ind w:left="360" w:right="26"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Criteria for legal and natural persons:</w:t>
      </w:r>
    </w:p>
    <w:p w:rsidR="00000000" w:rsidDel="00000000" w:rsidP="00000000" w:rsidRDefault="00000000" w:rsidRPr="00000000" w14:paraId="0000003A">
      <w:pPr>
        <w:widowControl w:val="1"/>
        <w:spacing w:after="0" w:before="0" w:lineRule="auto"/>
        <w:ind w:left="710" w:firstLine="0"/>
        <w:jc w:val="both"/>
        <w:rPr>
          <w:sz w:val="22"/>
          <w:szCs w:val="22"/>
        </w:rPr>
      </w:pPr>
      <w:r w:rsidDel="00000000" w:rsidR="00000000" w:rsidRPr="00000000">
        <w:rPr>
          <w:sz w:val="22"/>
          <w:szCs w:val="22"/>
          <w:rtl w:val="0"/>
        </w:rPr>
        <w:t xml:space="preserve">3.1</w:t>
        <w:tab/>
        <w:t xml:space="preserve">The tenderer has delivered supplies under at least </w:t>
      </w:r>
      <w:r w:rsidDel="00000000" w:rsidR="00000000" w:rsidRPr="00000000">
        <w:rPr>
          <w:b w:val="1"/>
          <w:sz w:val="22"/>
          <w:szCs w:val="22"/>
          <w:rtl w:val="0"/>
        </w:rPr>
        <w:t xml:space="preserve">1 (one) contract</w:t>
      </w:r>
      <w:r w:rsidDel="00000000" w:rsidR="00000000" w:rsidRPr="00000000">
        <w:rPr>
          <w:sz w:val="22"/>
          <w:szCs w:val="22"/>
          <w:rtl w:val="0"/>
        </w:rPr>
        <w:t xml:space="preserve">, with a budget of </w:t>
      </w:r>
      <w:r w:rsidDel="00000000" w:rsidR="00000000" w:rsidRPr="00000000">
        <w:rPr>
          <w:b w:val="1"/>
          <w:sz w:val="22"/>
          <w:szCs w:val="22"/>
          <w:rtl w:val="0"/>
        </w:rPr>
        <w:t xml:space="preserve">at least 90.000 EUR</w:t>
      </w:r>
      <w:r w:rsidDel="00000000" w:rsidR="00000000" w:rsidRPr="00000000">
        <w:rPr>
          <w:sz w:val="22"/>
          <w:szCs w:val="22"/>
          <w:rtl w:val="0"/>
        </w:rPr>
        <w:t xml:space="preserve"> in the field of supply of vehicles, which were implemented at any moment during the reference period (2018, 2019 and 2020).</w:t>
      </w:r>
    </w:p>
    <w:p w:rsidR="00000000" w:rsidDel="00000000" w:rsidP="00000000" w:rsidRDefault="00000000" w:rsidRPr="00000000" w14:paraId="0000003B">
      <w:pPr>
        <w:widowControl w:val="1"/>
        <w:spacing w:after="0" w:before="0" w:lineRule="auto"/>
        <w:ind w:left="710" w:firstLine="0"/>
        <w:jc w:val="both"/>
        <w:rPr>
          <w:sz w:val="22"/>
          <w:szCs w:val="22"/>
        </w:rPr>
      </w:pPr>
      <w:r w:rsidDel="00000000" w:rsidR="00000000" w:rsidRPr="00000000">
        <w:rPr>
          <w:rtl w:val="0"/>
        </w:rPr>
      </w:r>
    </w:p>
    <w:p w:rsidR="00000000" w:rsidDel="00000000" w:rsidP="00000000" w:rsidRDefault="00000000" w:rsidRPr="00000000" w14:paraId="0000003C">
      <w:pPr>
        <w:widowControl w:val="1"/>
        <w:spacing w:after="0" w:before="0" w:lineRule="auto"/>
        <w:ind w:left="710" w:firstLine="0"/>
        <w:jc w:val="both"/>
        <w:rPr>
          <w:b w:val="1"/>
          <w:sz w:val="22"/>
          <w:szCs w:val="22"/>
        </w:rPr>
      </w:pPr>
      <w:r w:rsidDel="00000000" w:rsidR="00000000" w:rsidRPr="00000000">
        <w:rPr>
          <w:sz w:val="22"/>
          <w:szCs w:val="22"/>
          <w:rtl w:val="0"/>
        </w:rPr>
        <w:t xml:space="preserve">This means that the contract the candidate refers to could have been started at any time during the indicated period but it does not necessarily have to be completed during that period, nor implemented during the entire period.</w:t>
      </w:r>
      <w:r w:rsidDel="00000000" w:rsidR="00000000" w:rsidRPr="00000000">
        <w:rPr>
          <w:rtl w:val="0"/>
        </w:rPr>
        <w:t xml:space="preserve"> </w:t>
      </w:r>
      <w:r w:rsidDel="00000000" w:rsidR="00000000" w:rsidRPr="00000000">
        <w:rPr>
          <w:sz w:val="22"/>
          <w:szCs w:val="22"/>
          <w:rtl w:val="0"/>
        </w:rPr>
        <w:t xml:space="preserve">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71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Previous experience which caused breach of contract and termination by a contracting authority shall not be used as reference.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8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8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Capacity-providing entities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8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8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 regard to technical and professional criteria, an economic operator may only rely on the capacities of other entities where the latter will perform the tasks for which these capacities are required.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8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 regard to economic and financial criteria, the entities upon whose capacity the economic operator relies, become jointly and severally liable for the performance of the contract.</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Award criteria</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36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Price </w:t>
      </w:r>
    </w:p>
    <w:p w:rsidR="00000000" w:rsidDel="00000000" w:rsidP="00000000" w:rsidRDefault="00000000" w:rsidRPr="00000000" w14:paraId="00000045">
      <w:pPr>
        <w:rPr>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12700"/>
                <wp:effectExtent b="0" l="0" r="0" t="0"/>
                <wp:wrapNone/>
                <wp:docPr id="2" name=""/>
                <a:graphic>
                  <a:graphicData uri="http://schemas.microsoft.com/office/word/2010/wordprocessingShape">
                    <wps:wsp>
                      <wps:cNvSpPr/>
                      <wps:cNvPr id="3" name="Shape 3"/>
                      <wps:spPr>
                        <a:xfrm>
                          <a:off x="5346000" y="3932400"/>
                          <a:ext cx="5943600" cy="635"/>
                        </a:xfrm>
                        <a:prstGeom prst="straightConnector1">
                          <a:avLst/>
                        </a:prstGeom>
                        <a:solidFill>
                          <a:srgbClr val="FFFFFF"/>
                        </a:solidFill>
                        <a:ln cap="flat" cmpd="sng" w="22225">
                          <a:solidFill>
                            <a:srgbClr val="D4D4D4"/>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22225"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2225" cy="12700"/>
                        </a:xfrm>
                        <a:prstGeom prst="rect"/>
                        <a:ln/>
                      </pic:spPr>
                    </pic:pic>
                  </a:graphicData>
                </a:graphic>
              </wp:anchor>
            </w:drawing>
          </mc:Fallback>
        </mc:AlternateConten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100" w:line="240" w:lineRule="auto"/>
        <w:ind w:left="284"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APPLICATION AND TENDERING</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How to obtain the tender dossier</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 dossier is available from the following Internet address: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hyperlink r:id="rId10">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https://kirs.gov.rs/cir/javne-nabavke/otvoreni-postupak/0</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tender dossier is also available from the Contracting Authority.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must be submitted using the standard tender form for a supply contract included in the tender dossier, whose format and instructions must be strictly observed.</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Tenderers with questions regarding this tender should send them in writing to:</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 w:right="-45"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Commissariat for refugees and migration of the Republic of Serbia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 w:right="-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Narodnih heroja 4,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 w:right="-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11070 Belgrade, Serbia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 w:right="-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Fax: +381 (0) 11 312 95 85</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 w:right="-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hyperlink r:id="rId11">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bojana.nedovic@kirs.gov.rs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mentioning the publication reference shown in item 1) at the latest 21 days before the deadline for submission of tenders given in item 20. The contracting authority must reply to all tenderers' questions at the latest 11 days before the deadline for submission of tenders. Eventual clarifications or minor changes to the tender dossier shall be published at the latest 11 days before the submission deadline on the website of the Contracting Authority at </w:t>
      </w:r>
      <w:hyperlink r:id="rId12">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https://kirs.gov.rs/cir/javne-nabavke/otvoreni-postupak/0</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48"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website will be updated regularly and it is the tenderer’s responsibility to check for updates and modifications during the submission period.  </w:t>
      </w:r>
    </w:p>
    <w:p w:rsidR="00000000" w:rsidDel="00000000" w:rsidP="00000000" w:rsidRDefault="00000000" w:rsidRPr="00000000" w14:paraId="00000054">
      <w:pPr>
        <w:ind w:left="709" w:right="1" w:firstLine="0"/>
        <w:jc w:val="both"/>
        <w:rPr>
          <w:b w:val="0"/>
          <w:sz w:val="22"/>
          <w:szCs w:val="22"/>
        </w:rPr>
      </w:pP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Tender opening session</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1" w:firstLine="66.00000000000001"/>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27</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superscript"/>
          <w:rtl w:val="0"/>
        </w:rPr>
        <w:t xml:space="preserve">th</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December 2021 at 12:00 hours CET</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at the premises of the contracting authority.</w:t>
      </w:r>
    </w:p>
    <w:p w:rsidR="00000000" w:rsidDel="00000000" w:rsidP="00000000" w:rsidRDefault="00000000" w:rsidRPr="00000000" w14:paraId="00000057">
      <w:pPr>
        <w:shd w:fill="ffffff" w:val="clear"/>
        <w:spacing w:after="0" w:before="0" w:lineRule="auto"/>
        <w:ind w:firstLine="426"/>
        <w:rPr>
          <w:sz w:val="22"/>
          <w:szCs w:val="22"/>
        </w:rPr>
      </w:pPr>
      <w:r w:rsidDel="00000000" w:rsidR="00000000" w:rsidRPr="00000000">
        <w:rPr>
          <w:sz w:val="22"/>
          <w:szCs w:val="22"/>
          <w:rtl w:val="0"/>
        </w:rPr>
        <w:t xml:space="preserve">Commissariat for refugees and migration of the Republic of Serbia </w:t>
      </w:r>
    </w:p>
    <w:p w:rsidR="00000000" w:rsidDel="00000000" w:rsidP="00000000" w:rsidRDefault="00000000" w:rsidRPr="00000000" w14:paraId="00000058">
      <w:pPr>
        <w:shd w:fill="ffffff" w:val="clear"/>
        <w:spacing w:after="0" w:before="0" w:lineRule="auto"/>
        <w:ind w:firstLine="426"/>
        <w:rPr>
          <w:sz w:val="22"/>
          <w:szCs w:val="22"/>
        </w:rPr>
      </w:pPr>
      <w:r w:rsidDel="00000000" w:rsidR="00000000" w:rsidRPr="00000000">
        <w:rPr>
          <w:sz w:val="22"/>
          <w:szCs w:val="22"/>
          <w:rtl w:val="0"/>
        </w:rPr>
        <w:t xml:space="preserve">Narodnih heroja 4, </w:t>
      </w:r>
    </w:p>
    <w:p w:rsidR="00000000" w:rsidDel="00000000" w:rsidP="00000000" w:rsidRDefault="00000000" w:rsidRPr="00000000" w14:paraId="00000059">
      <w:pPr>
        <w:shd w:fill="ffffff" w:val="clear"/>
        <w:spacing w:after="0" w:before="0" w:lineRule="auto"/>
        <w:ind w:firstLine="426"/>
        <w:rPr>
          <w:sz w:val="22"/>
          <w:szCs w:val="22"/>
        </w:rPr>
      </w:pPr>
      <w:r w:rsidDel="00000000" w:rsidR="00000000" w:rsidRPr="00000000">
        <w:rPr>
          <w:sz w:val="22"/>
          <w:szCs w:val="22"/>
          <w:rtl w:val="0"/>
        </w:rPr>
        <w:t xml:space="preserve">11070 Belgrade, Serbia </w:t>
      </w:r>
    </w:p>
    <w:p w:rsidR="00000000" w:rsidDel="00000000" w:rsidP="00000000" w:rsidRDefault="00000000" w:rsidRPr="00000000" w14:paraId="0000005A">
      <w:pPr>
        <w:ind w:left="426" w:firstLine="0"/>
        <w:jc w:val="both"/>
        <w:rPr>
          <w:sz w:val="22"/>
          <w:szCs w:val="22"/>
        </w:rPr>
      </w:pPr>
      <w:r w:rsidDel="00000000" w:rsidR="00000000" w:rsidRPr="00000000">
        <w:rPr>
          <w:sz w:val="22"/>
          <w:szCs w:val="22"/>
          <w:rtl w:val="0"/>
        </w:rPr>
        <w:t xml:space="preserve">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rsidR="00000000" w:rsidDel="00000000" w:rsidP="00000000" w:rsidRDefault="00000000" w:rsidRPr="00000000" w14:paraId="0000005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How applications may be submitted </w:t>
      </w:r>
    </w:p>
    <w:p w:rsidR="00000000" w:rsidDel="00000000" w:rsidP="00000000" w:rsidRDefault="00000000" w:rsidRPr="00000000" w14:paraId="0000005C">
      <w:pPr>
        <w:ind w:left="426" w:firstLine="0"/>
        <w:jc w:val="both"/>
        <w:rPr>
          <w:sz w:val="22"/>
          <w:szCs w:val="22"/>
        </w:rPr>
      </w:pPr>
      <w:r w:rsidDel="00000000" w:rsidR="00000000" w:rsidRPr="00000000">
        <w:rPr>
          <w:sz w:val="22"/>
          <w:szCs w:val="22"/>
          <w:rtl w:val="0"/>
        </w:rPr>
        <w:t xml:space="preserve">Applications must be submitted in English exclusively to the contracting authority in a sealed envelope.</w:t>
      </w:r>
    </w:p>
    <w:p w:rsidR="00000000" w:rsidDel="00000000" w:rsidP="00000000" w:rsidRDefault="00000000" w:rsidRPr="00000000" w14:paraId="0000005D">
      <w:pPr>
        <w:numPr>
          <w:ilvl w:val="0"/>
          <w:numId w:val="3"/>
        </w:numPr>
        <w:ind w:left="1069" w:hanging="360"/>
        <w:rPr>
          <w:sz w:val="22"/>
          <w:szCs w:val="22"/>
        </w:rPr>
      </w:pPr>
      <w:r w:rsidDel="00000000" w:rsidR="00000000" w:rsidRPr="00000000">
        <w:rPr>
          <w:sz w:val="22"/>
          <w:szCs w:val="22"/>
          <w:rtl w:val="0"/>
        </w:rPr>
        <w:t xml:space="preserve">Either by post or by courier service, in which case the evidence shall be constituted by the postmark or the date of the deposit slip,  to: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0" w:line="240" w:lineRule="auto"/>
        <w:ind w:left="1069"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Att: Ms Bojana Nedovic, project manager</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069"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Commissariat for refugees and migration of the Republic of Serbia</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100" w:before="0" w:line="240" w:lineRule="auto"/>
        <w:ind w:left="1069"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Narodnih heroja 4, 11070 Belgrade, Serbia</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360" w:right="36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numPr>
          <w:ilvl w:val="0"/>
          <w:numId w:val="3"/>
        </w:numPr>
        <w:ind w:left="1069" w:hanging="360"/>
        <w:rPr>
          <w:sz w:val="22"/>
          <w:szCs w:val="22"/>
        </w:rPr>
      </w:pPr>
      <w:r w:rsidDel="00000000" w:rsidR="00000000" w:rsidRPr="00000000">
        <w:rPr>
          <w:sz w:val="22"/>
          <w:szCs w:val="22"/>
          <w:rtl w:val="0"/>
        </w:rPr>
        <w:t xml:space="preserve">OR hand delivered by the participant in person or by an agent</w:t>
      </w:r>
      <w:r w:rsidDel="00000000" w:rsidR="00000000" w:rsidRPr="00000000">
        <w:rPr>
          <w:rtl w:val="0"/>
        </w:rPr>
        <w:t xml:space="preserve"> directly</w:t>
      </w:r>
      <w:r w:rsidDel="00000000" w:rsidR="00000000" w:rsidRPr="00000000">
        <w:rPr>
          <w:sz w:val="22"/>
          <w:szCs w:val="22"/>
          <w:rtl w:val="0"/>
        </w:rPr>
        <w:t xml:space="preserve"> to the premises of the contracting authority in return for a </w:t>
      </w:r>
      <w:r w:rsidDel="00000000" w:rsidR="00000000" w:rsidRPr="00000000">
        <w:rPr>
          <w:rtl w:val="0"/>
        </w:rPr>
        <w:t xml:space="preserve">signed and dated receipt</w:t>
      </w:r>
      <w:r w:rsidDel="00000000" w:rsidR="00000000" w:rsidRPr="00000000">
        <w:rPr>
          <w:sz w:val="22"/>
          <w:szCs w:val="22"/>
          <w:rtl w:val="0"/>
        </w:rPr>
        <w:t xml:space="preserve">, in which case the evidence shall be constituted by this acknowledgement of receipt, to: </w:t>
      </w:r>
    </w:p>
    <w:p w:rsidR="00000000" w:rsidDel="00000000" w:rsidP="00000000" w:rsidRDefault="00000000" w:rsidRPr="00000000" w14:paraId="00000063">
      <w:pPr>
        <w:shd w:fill="ffffff" w:val="clear"/>
        <w:spacing w:after="0" w:before="0" w:lineRule="auto"/>
        <w:jc w:val="center"/>
        <w:rPr>
          <w:sz w:val="22"/>
          <w:szCs w:val="22"/>
        </w:rPr>
      </w:pPr>
      <w:r w:rsidDel="00000000" w:rsidR="00000000" w:rsidRPr="00000000">
        <w:rPr>
          <w:rtl w:val="0"/>
        </w:rPr>
      </w:r>
    </w:p>
    <w:p w:rsidR="00000000" w:rsidDel="00000000" w:rsidP="00000000" w:rsidRDefault="00000000" w:rsidRPr="00000000" w14:paraId="00000064">
      <w:pPr>
        <w:shd w:fill="ffffff" w:val="clear"/>
        <w:spacing w:after="0" w:before="0" w:lineRule="auto"/>
        <w:jc w:val="center"/>
        <w:rPr>
          <w:i w:val="0"/>
          <w:color w:val="ff0000"/>
          <w:sz w:val="22"/>
          <w:szCs w:val="22"/>
        </w:rPr>
      </w:pPr>
      <w:r w:rsidDel="00000000" w:rsidR="00000000" w:rsidRPr="00000000">
        <w:rPr>
          <w:sz w:val="22"/>
          <w:szCs w:val="22"/>
          <w:rtl w:val="0"/>
        </w:rPr>
        <w:t xml:space="preserve">Ms Bojana Nedovic, project manager</w:t>
      </w:r>
      <w:r w:rsidDel="00000000" w:rsidR="00000000" w:rsidRPr="00000000">
        <w:rPr>
          <w:i w:val="1"/>
          <w:sz w:val="22"/>
          <w:szCs w:val="22"/>
          <w:rtl w:val="0"/>
        </w:rPr>
        <w:t xml:space="preserve">, tel: +381 64 828 31 28</w:t>
      </w:r>
      <w:r w:rsidDel="00000000" w:rsidR="00000000" w:rsidRPr="00000000">
        <w:rPr>
          <w:rtl w:val="0"/>
        </w:rPr>
      </w:r>
    </w:p>
    <w:p w:rsidR="00000000" w:rsidDel="00000000" w:rsidP="00000000" w:rsidRDefault="00000000" w:rsidRPr="00000000" w14:paraId="00000065">
      <w:pPr>
        <w:shd w:fill="ffffff" w:val="clear"/>
        <w:spacing w:after="0" w:before="0" w:lineRule="auto"/>
        <w:jc w:val="center"/>
        <w:rPr>
          <w:sz w:val="22"/>
          <w:szCs w:val="22"/>
        </w:rPr>
      </w:pPr>
      <w:r w:rsidDel="00000000" w:rsidR="00000000" w:rsidRPr="00000000">
        <w:rPr>
          <w:sz w:val="22"/>
          <w:szCs w:val="22"/>
          <w:rtl w:val="0"/>
        </w:rPr>
        <w:t xml:space="preserve">Commissariat for refugees and migration of the Republic of Serbia</w:t>
      </w:r>
    </w:p>
    <w:p w:rsidR="00000000" w:rsidDel="00000000" w:rsidP="00000000" w:rsidRDefault="00000000" w:rsidRPr="00000000" w14:paraId="00000066">
      <w:pPr>
        <w:shd w:fill="ffffff" w:val="clear"/>
        <w:spacing w:after="0" w:before="0" w:lineRule="auto"/>
        <w:jc w:val="center"/>
        <w:rPr>
          <w:sz w:val="22"/>
          <w:szCs w:val="22"/>
        </w:rPr>
      </w:pPr>
      <w:r w:rsidDel="00000000" w:rsidR="00000000" w:rsidRPr="00000000">
        <w:rPr>
          <w:sz w:val="22"/>
          <w:szCs w:val="22"/>
          <w:rtl w:val="0"/>
        </w:rPr>
        <w:t xml:space="preserve">Narodnih heroja 4, 11070 Belgrade, Serbia</w:t>
      </w:r>
    </w:p>
    <w:p w:rsidR="00000000" w:rsidDel="00000000" w:rsidP="00000000" w:rsidRDefault="00000000" w:rsidRPr="00000000" w14:paraId="00000067">
      <w:pPr>
        <w:spacing w:after="0" w:before="0" w:lineRule="auto"/>
        <w:ind w:left="567" w:firstLine="0"/>
        <w:jc w:val="center"/>
        <w:rPr>
          <w:sz w:val="22"/>
          <w:szCs w:val="22"/>
          <w:u w:val="single"/>
        </w:rPr>
      </w:pPr>
      <w:r w:rsidDel="00000000" w:rsidR="00000000" w:rsidRPr="00000000">
        <w:rPr>
          <w:sz w:val="22"/>
          <w:szCs w:val="22"/>
          <w:u w:val="single"/>
          <w:rtl w:val="0"/>
        </w:rPr>
        <w:t xml:space="preserve">Working hours: 07:30 a.m. - 15:30 p.m.</w:t>
      </w:r>
    </w:p>
    <w:p w:rsidR="00000000" w:rsidDel="00000000" w:rsidP="00000000" w:rsidRDefault="00000000" w:rsidRPr="00000000" w14:paraId="00000068">
      <w:pPr>
        <w:ind w:left="426" w:firstLine="0"/>
        <w:jc w:val="both"/>
        <w:rPr>
          <w:sz w:val="22"/>
          <w:szCs w:val="22"/>
        </w:rPr>
      </w:pPr>
      <w:r w:rsidDel="00000000" w:rsidR="00000000" w:rsidRPr="00000000">
        <w:rPr>
          <w:sz w:val="22"/>
          <w:szCs w:val="22"/>
          <w:rtl w:val="0"/>
        </w:rPr>
        <w:t xml:space="preserve">The contract title and publication reference (see contract notice) must be clearly marked on the envelope containing the application and must always be mentioned in all subsequent correspondence with the contracting authority. </w:t>
      </w:r>
    </w:p>
    <w:p w:rsidR="00000000" w:rsidDel="00000000" w:rsidP="00000000" w:rsidRDefault="00000000" w:rsidRPr="00000000" w14:paraId="00000069">
      <w:pPr>
        <w:tabs>
          <w:tab w:val="left" w:pos="426"/>
        </w:tabs>
        <w:ind w:left="426" w:firstLine="0"/>
        <w:jc w:val="both"/>
        <w:rPr>
          <w:sz w:val="22"/>
          <w:szCs w:val="22"/>
        </w:rPr>
      </w:pPr>
      <w:r w:rsidDel="00000000" w:rsidR="00000000" w:rsidRPr="00000000">
        <w:rPr>
          <w:sz w:val="22"/>
          <w:szCs w:val="22"/>
          <w:rtl w:val="0"/>
        </w:rPr>
        <w:t xml:space="preserve">Applications submitted by any other means will not be considered. </w:t>
      </w:r>
    </w:p>
    <w:p w:rsidR="00000000" w:rsidDel="00000000" w:rsidP="00000000" w:rsidRDefault="00000000" w:rsidRPr="00000000" w14:paraId="0000006A">
      <w:pPr>
        <w:tabs>
          <w:tab w:val="left" w:pos="426"/>
        </w:tabs>
        <w:ind w:left="426" w:firstLine="0"/>
        <w:jc w:val="both"/>
        <w:rPr>
          <w:sz w:val="22"/>
          <w:szCs w:val="22"/>
        </w:rPr>
      </w:pPr>
      <w:r w:rsidDel="00000000" w:rsidR="00000000" w:rsidRPr="00000000">
        <w:rPr>
          <w:sz w:val="22"/>
          <w:szCs w:val="22"/>
          <w:rtl w:val="0"/>
        </w:rPr>
        <w:t xml:space="preserve">By submitting an application candidates accept to receive notification of the outcome of the procedure by electronic means. Such notification shall be deemed to have been received on the date upon which the contracting authority sends it to the electronic address referred to in the application form. </w:t>
      </w:r>
    </w:p>
    <w:p w:rsidR="00000000" w:rsidDel="00000000" w:rsidP="00000000" w:rsidRDefault="00000000" w:rsidRPr="00000000" w14:paraId="0000006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567" w:right="0" w:hanging="56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Deadline for submission of applications</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candidate’s attention is drawn to the fact that there are two different systems for sending applications: one is by post or private mail service, the other is by hand delivery.</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the first case, the application must be sent before the date and time limit for submission, as evidenced by the postmark or deposit slip</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but in the second case it is the acknowledgment of receipt given at the time of the delivery of the application that will serve as proof.</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The deadline for submission of applications is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22/12/2021, 15:30 h CET</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and can be found in the Contract Notice under IV.2.2.</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application sent to the contracting authority after this deadline will not be considered.</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100" w:before="100" w:line="240" w:lineRule="auto"/>
        <w:ind w:left="426"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decisions already taken and notified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7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Alteration or withdrawal of applications</w:t>
      </w:r>
    </w:p>
    <w:p w:rsidR="00000000" w:rsidDel="00000000" w:rsidP="00000000" w:rsidRDefault="00000000" w:rsidRPr="00000000" w14:paraId="00000072">
      <w:pPr>
        <w:ind w:left="426" w:firstLine="0"/>
        <w:jc w:val="both"/>
        <w:rPr>
          <w:sz w:val="22"/>
          <w:szCs w:val="22"/>
        </w:rPr>
      </w:pPr>
      <w:r w:rsidDel="00000000" w:rsidR="00000000" w:rsidRPr="00000000">
        <w:rPr>
          <w:sz w:val="22"/>
          <w:szCs w:val="22"/>
          <w:rtl w:val="0"/>
        </w:rPr>
        <w:t xml:space="preserve">Applicants may alter or withdraw their applications by written notification prior to the deadline for submission of applications. No applications may be altered after this deadline. </w:t>
      </w:r>
    </w:p>
    <w:p w:rsidR="00000000" w:rsidDel="00000000" w:rsidP="00000000" w:rsidRDefault="00000000" w:rsidRPr="00000000" w14:paraId="00000073">
      <w:pPr>
        <w:ind w:left="426" w:firstLine="0"/>
        <w:jc w:val="both"/>
        <w:rPr>
          <w:sz w:val="22"/>
          <w:szCs w:val="22"/>
        </w:rPr>
      </w:pPr>
      <w:r w:rsidDel="00000000" w:rsidR="00000000" w:rsidRPr="00000000">
        <w:rPr>
          <w:sz w:val="22"/>
          <w:szCs w:val="22"/>
          <w:rtl w:val="0"/>
        </w:rPr>
        <w:t xml:space="preserve">Any such notification of alteration or withdrawal shall be prepared and submitted in accordance with precedent item. The outer envelope (and the relevant inner envelope if used) must be marked ‘Alteration’ or ‘Withdrawal’ as appropriate. </w:t>
      </w:r>
    </w:p>
    <w:p w:rsidR="00000000" w:rsidDel="00000000" w:rsidP="00000000" w:rsidRDefault="00000000" w:rsidRPr="00000000" w14:paraId="0000007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Language of the procedure</w:t>
      </w:r>
    </w:p>
    <w:p w:rsidR="00000000" w:rsidDel="00000000" w:rsidP="00000000" w:rsidRDefault="00000000" w:rsidRPr="00000000" w14:paraId="00000075">
      <w:pPr>
        <w:ind w:left="426" w:firstLine="0"/>
        <w:jc w:val="both"/>
        <w:rPr>
          <w:sz w:val="22"/>
          <w:szCs w:val="22"/>
        </w:rPr>
      </w:pPr>
      <w:r w:rsidDel="00000000" w:rsidR="00000000" w:rsidRPr="00000000">
        <w:rPr>
          <w:sz w:val="22"/>
          <w:szCs w:val="22"/>
          <w:rtl w:val="0"/>
        </w:rPr>
        <w:t xml:space="preserve">All written communications for this tender procedure and contract must be in English. </w:t>
      </w:r>
    </w:p>
    <w:p w:rsidR="00000000" w:rsidDel="00000000" w:rsidP="00000000" w:rsidRDefault="00000000" w:rsidRPr="00000000" w14:paraId="0000007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426" w:right="0" w:hanging="426"/>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Legal basis</w:t>
      </w:r>
    </w:p>
    <w:p w:rsidR="00000000" w:rsidDel="00000000" w:rsidP="00000000" w:rsidRDefault="00000000" w:rsidRPr="00000000" w14:paraId="00000077">
      <w:pPr>
        <w:spacing w:after="0" w:before="120" w:lineRule="auto"/>
        <w:ind w:left="426" w:firstLine="0"/>
        <w:jc w:val="both"/>
        <w:rPr>
          <w:sz w:val="22"/>
          <w:szCs w:val="22"/>
        </w:rPr>
      </w:pPr>
      <w:r w:rsidDel="00000000" w:rsidR="00000000" w:rsidRPr="00000000">
        <w:rPr>
          <w:sz w:val="22"/>
          <w:szCs w:val="22"/>
          <w:rtl w:val="0"/>
        </w:rPr>
        <w:t xml:space="preserve">Regulation</w:t>
      </w:r>
      <w:r w:rsidDel="00000000" w:rsidR="00000000" w:rsidRPr="00000000">
        <w:rPr>
          <w:b w:val="1"/>
          <w:sz w:val="22"/>
          <w:szCs w:val="22"/>
          <w:rtl w:val="0"/>
        </w:rPr>
        <w:t xml:space="preserve"> </w:t>
      </w:r>
      <w:r w:rsidDel="00000000" w:rsidR="00000000" w:rsidRPr="00000000">
        <w:rPr>
          <w:sz w:val="22"/>
          <w:szCs w:val="22"/>
          <w:rtl w:val="0"/>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w:t>
      </w:r>
    </w:p>
    <w:p w:rsidR="00000000" w:rsidDel="00000000" w:rsidP="00000000" w:rsidRDefault="00000000" w:rsidRPr="00000000" w14:paraId="00000078">
      <w:pPr>
        <w:ind w:left="426" w:hanging="426"/>
        <w:rPr>
          <w:b w:val="1"/>
          <w:sz w:val="22"/>
          <w:szCs w:val="22"/>
        </w:rPr>
      </w:pPr>
      <w:r w:rsidDel="00000000" w:rsidR="00000000" w:rsidRPr="00000000">
        <w:rPr>
          <w:b w:val="1"/>
          <w:sz w:val="22"/>
          <w:szCs w:val="22"/>
          <w:rtl w:val="0"/>
        </w:rPr>
        <w:t xml:space="preserve">24.</w:t>
        <w:tab/>
        <w:t xml:space="preserve">Additional information</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00" w:line="240" w:lineRule="auto"/>
        <w:ind w:left="709" w:right="360" w:hanging="28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Financial data to be provided by the tenderer in the standard tender form must be expressed in EUR. If applicable, where a candidate refers to amounts originally expressed in a different currency, the conversion to EUR shall be made in accordance with the InforEuro exchange rate of the month corresponding to the deadline for submitting applications, which can be found at the following address: </w:t>
      </w:r>
      <w:hyperlink r:id="rId13">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http://ec.europa.eu/budget/graphs/inforeuro.html</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09" w:right="360" w:hanging="283"/>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Tenders are encouraged to inform the contracting authority of the offer submission date and/or their intention to attend the public opening by sending an email to </w:t>
      </w:r>
      <w:hyperlink r:id="rId14">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bojana.nedovic@kirs.gov.rs</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at least 24 hours before the public opening.</w:t>
      </w:r>
    </w:p>
    <w:p w:rsidR="00000000" w:rsidDel="00000000" w:rsidP="00000000" w:rsidRDefault="00000000" w:rsidRPr="00000000" w14:paraId="0000007B">
      <w:pPr>
        <w:widowControl w:val="1"/>
        <w:spacing w:after="0" w:lineRule="auto"/>
        <w:ind w:left="426" w:right="360" w:firstLine="0"/>
        <w:jc w:val="both"/>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120" w:line="240" w:lineRule="auto"/>
      <w:ind w:left="0" w:right="0"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August 2020</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a5f__additional_information_contract_notice_en</w:t>
      <w:tab/>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It is recommended to use registered mail in case the postmark would not be readable.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67" w:firstLine="0"/>
      </w:pPr>
      <w:rPr>
        <w:rFonts w:ascii="Times New Roman" w:cs="Times New Roman" w:eastAsia="Times New Roman" w:hAnsi="Times New Roman"/>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3"/>
      <w:numFmt w:val="bullet"/>
      <w:lvlText w:val="-"/>
      <w:lvlJc w:val="left"/>
      <w:pPr>
        <w:ind w:left="1080" w:hanging="360"/>
      </w:pPr>
      <w:rPr>
        <w:rFonts w:ascii="Arial" w:cs="Arial" w:eastAsia="Arial" w:hAnsi="Arial"/>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1"/>
      <w:numFmt w:val="bullet"/>
      <w:lvlText w:val="-"/>
      <w:lvlJc w:val="left"/>
      <w:pPr>
        <w:ind w:left="1069" w:hanging="360"/>
      </w:pPr>
      <w:rPr>
        <w:rFonts w:ascii="Times New Roman" w:cs="Times New Roman" w:eastAsia="Times New Roman" w:hAnsi="Times New Roman"/>
      </w:rPr>
    </w:lvl>
    <w:lvl w:ilvl="1">
      <w:start w:val="1"/>
      <w:numFmt w:val="bullet"/>
      <w:lvlText w:val="o"/>
      <w:lvlJc w:val="left"/>
      <w:pPr>
        <w:ind w:left="1789" w:hanging="360"/>
      </w:pPr>
      <w:rPr>
        <w:rFonts w:ascii="Courier New" w:cs="Courier New" w:eastAsia="Courier New" w:hAnsi="Courier New"/>
      </w:rPr>
    </w:lvl>
    <w:lvl w:ilvl="2">
      <w:start w:val="1"/>
      <w:numFmt w:val="bullet"/>
      <w:lvlText w:val="▪"/>
      <w:lvlJc w:val="left"/>
      <w:pPr>
        <w:ind w:left="2509" w:hanging="360"/>
      </w:pPr>
      <w:rPr>
        <w:rFonts w:ascii="Noto Sans Symbols" w:cs="Noto Sans Symbols" w:eastAsia="Noto Sans Symbols" w:hAnsi="Noto Sans Symbols"/>
      </w:rPr>
    </w:lvl>
    <w:lvl w:ilvl="3">
      <w:start w:val="1"/>
      <w:numFmt w:val="bullet"/>
      <w:lvlText w:val="●"/>
      <w:lvlJc w:val="left"/>
      <w:pPr>
        <w:ind w:left="3229" w:hanging="360"/>
      </w:pPr>
      <w:rPr>
        <w:rFonts w:ascii="Noto Sans Symbols" w:cs="Noto Sans Symbols" w:eastAsia="Noto Sans Symbols" w:hAnsi="Noto Sans Symbols"/>
      </w:rPr>
    </w:lvl>
    <w:lvl w:ilvl="4">
      <w:start w:val="1"/>
      <w:numFmt w:val="bullet"/>
      <w:lvlText w:val="o"/>
      <w:lvlJc w:val="left"/>
      <w:pPr>
        <w:ind w:left="3949" w:hanging="360"/>
      </w:pPr>
      <w:rPr>
        <w:rFonts w:ascii="Courier New" w:cs="Courier New" w:eastAsia="Courier New" w:hAnsi="Courier New"/>
      </w:rPr>
    </w:lvl>
    <w:lvl w:ilvl="5">
      <w:start w:val="1"/>
      <w:numFmt w:val="bullet"/>
      <w:lvlText w:val="▪"/>
      <w:lvlJc w:val="left"/>
      <w:pPr>
        <w:ind w:left="4669" w:hanging="360"/>
      </w:pPr>
      <w:rPr>
        <w:rFonts w:ascii="Noto Sans Symbols" w:cs="Noto Sans Symbols" w:eastAsia="Noto Sans Symbols" w:hAnsi="Noto Sans Symbols"/>
      </w:rPr>
    </w:lvl>
    <w:lvl w:ilvl="6">
      <w:start w:val="1"/>
      <w:numFmt w:val="bullet"/>
      <w:lvlText w:val="●"/>
      <w:lvlJc w:val="left"/>
      <w:pPr>
        <w:ind w:left="5389" w:hanging="360"/>
      </w:pPr>
      <w:rPr>
        <w:rFonts w:ascii="Noto Sans Symbols" w:cs="Noto Sans Symbols" w:eastAsia="Noto Sans Symbols" w:hAnsi="Noto Sans Symbols"/>
      </w:rPr>
    </w:lvl>
    <w:lvl w:ilvl="7">
      <w:start w:val="1"/>
      <w:numFmt w:val="bullet"/>
      <w:lvlText w:val="o"/>
      <w:lvlJc w:val="left"/>
      <w:pPr>
        <w:ind w:left="6109" w:hanging="360"/>
      </w:pPr>
      <w:rPr>
        <w:rFonts w:ascii="Courier New" w:cs="Courier New" w:eastAsia="Courier New" w:hAnsi="Courier New"/>
      </w:rPr>
    </w:lvl>
    <w:lvl w:ilvl="8">
      <w:start w:val="1"/>
      <w:numFmt w:val="bullet"/>
      <w:lvlText w:val="▪"/>
      <w:lvlJc w:val="left"/>
      <w:pPr>
        <w:ind w:left="6829" w:hanging="360"/>
      </w:pPr>
      <w:rPr>
        <w:rFonts w:ascii="Noto Sans Symbols" w:cs="Noto Sans Symbols" w:eastAsia="Noto Sans Symbols" w:hAnsi="Noto Sans Symbols"/>
      </w:rPr>
    </w:lvl>
  </w:abstractNum>
  <w:abstractNum w:abstractNumId="4">
    <w:lvl w:ilvl="0">
      <w:start w:val="1"/>
      <w:numFmt w:val="decimal"/>
      <w:lvlText w:val="%1"/>
      <w:lvlJc w:val="left"/>
      <w:pPr>
        <w:ind w:left="435" w:hanging="435"/>
      </w:pPr>
      <w:rPr/>
    </w:lvl>
    <w:lvl w:ilvl="1">
      <w:start w:val="1"/>
      <w:numFmt w:val="decimal"/>
      <w:lvlText w:val="%1.%2"/>
      <w:lvlJc w:val="left"/>
      <w:pPr>
        <w:ind w:left="1146" w:hanging="435"/>
      </w:pPr>
      <w:rPr/>
    </w:lvl>
    <w:lvl w:ilvl="2">
      <w:start w:val="1"/>
      <w:numFmt w:val="decimal"/>
      <w:lvlText w:val="%1.%2.%3"/>
      <w:lvlJc w:val="left"/>
      <w:pPr>
        <w:ind w:left="2142" w:hanging="720"/>
      </w:pPr>
      <w:rPr/>
    </w:lvl>
    <w:lvl w:ilvl="3">
      <w:start w:val="1"/>
      <w:numFmt w:val="decimal"/>
      <w:lvlText w:val="%1.%2.%3.%4"/>
      <w:lvlJc w:val="left"/>
      <w:pPr>
        <w:ind w:left="2853" w:hanging="720"/>
      </w:pPr>
      <w:rPr/>
    </w:lvl>
    <w:lvl w:ilvl="4">
      <w:start w:val="1"/>
      <w:numFmt w:val="decimal"/>
      <w:lvlText w:val="%1.%2.%3.%4.%5"/>
      <w:lvlJc w:val="left"/>
      <w:pPr>
        <w:ind w:left="3924" w:hanging="1080"/>
      </w:pPr>
      <w:rPr/>
    </w:lvl>
    <w:lvl w:ilvl="5">
      <w:start w:val="1"/>
      <w:numFmt w:val="decimal"/>
      <w:lvlText w:val="%1.%2.%3.%4.%5.%6"/>
      <w:lvlJc w:val="left"/>
      <w:pPr>
        <w:ind w:left="4635" w:hanging="1080"/>
      </w:pPr>
      <w:rPr/>
    </w:lvl>
    <w:lvl w:ilvl="6">
      <w:start w:val="1"/>
      <w:numFmt w:val="decimal"/>
      <w:lvlText w:val="%1.%2.%3.%4.%5.%6.%7"/>
      <w:lvlJc w:val="left"/>
      <w:pPr>
        <w:ind w:left="5706" w:hanging="1440"/>
      </w:pPr>
      <w:rPr/>
    </w:lvl>
    <w:lvl w:ilvl="7">
      <w:start w:val="1"/>
      <w:numFmt w:val="decimal"/>
      <w:lvlText w:val="%1.%2.%3.%4.%5.%6.%7.%8"/>
      <w:lvlJc w:val="left"/>
      <w:pPr>
        <w:ind w:left="6417" w:hanging="1440"/>
      </w:pPr>
      <w:rPr/>
    </w:lvl>
    <w:lvl w:ilvl="8">
      <w:start w:val="1"/>
      <w:numFmt w:val="decimal"/>
      <w:lvlText w:val="%1.%2.%3.%4.%5.%6.%7.%8.%9"/>
      <w:lvlJc w:val="left"/>
      <w:pPr>
        <w:ind w:left="7128" w:hanging="144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widowControl w:val="0"/>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widowControl w:val="1"/>
      <w:spacing w:after="120" w:before="120" w:lineRule="auto"/>
      <w:ind w:left="414" w:right="-48"/>
      <w:jc w:val="both"/>
    </w:pPr>
    <w:rPr>
      <w:sz w:val="22"/>
      <w:szCs w:val="22"/>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EA6C7C"/>
    <w:pPr>
      <w:widowControl w:val="0"/>
      <w:spacing w:after="100" w:before="100" w:line="240" w:lineRule="auto"/>
    </w:pPr>
    <w:rPr>
      <w:rFonts w:ascii="Times New Roman" w:cs="Times New Roman" w:eastAsia="Times New Roman" w:hAnsi="Times New Roman"/>
      <w:snapToGrid w:val="0"/>
      <w:sz w:val="24"/>
      <w:szCs w:val="20"/>
      <w:lang w:val="en-US"/>
    </w:rPr>
  </w:style>
  <w:style w:type="paragraph" w:styleId="Heading4">
    <w:name w:val="heading 4"/>
    <w:basedOn w:val="Normal"/>
    <w:next w:val="Normal"/>
    <w:link w:val="Heading4Char"/>
    <w:autoRedefine w:val="1"/>
    <w:qFormat w:val="1"/>
    <w:rsid w:val="001916FC"/>
    <w:pPr>
      <w:widowControl w:val="1"/>
      <w:spacing w:after="120" w:before="120"/>
      <w:ind w:left="414" w:right="-48"/>
      <w:jc w:val="both"/>
      <w:outlineLvl w:val="3"/>
    </w:pPr>
    <w:rPr>
      <w:sz w:val="22"/>
      <w:szCs w:val="22"/>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Emphasis">
    <w:name w:val="Emphasis"/>
    <w:qFormat w:val="1"/>
    <w:rsid w:val="00EA6C7C"/>
    <w:rPr>
      <w:i w:val="1"/>
    </w:rPr>
  </w:style>
  <w:style w:type="character" w:styleId="Strong">
    <w:name w:val="Strong"/>
    <w:uiPriority w:val="22"/>
    <w:qFormat w:val="1"/>
    <w:rsid w:val="00EA6C7C"/>
    <w:rPr>
      <w:b w:val="1"/>
    </w:rPr>
  </w:style>
  <w:style w:type="paragraph" w:styleId="Blockquote" w:customStyle="1">
    <w:name w:val="Blockquote"/>
    <w:basedOn w:val="Normal"/>
    <w:rsid w:val="00EA6C7C"/>
    <w:pPr>
      <w:ind w:left="360" w:right="360"/>
    </w:pPr>
  </w:style>
  <w:style w:type="paragraph" w:styleId="ListParagraph">
    <w:name w:val="List Paragraph"/>
    <w:basedOn w:val="Normal"/>
    <w:uiPriority w:val="34"/>
    <w:qFormat w:val="1"/>
    <w:rsid w:val="00EA6C7C"/>
    <w:pPr>
      <w:ind w:left="720"/>
      <w:contextualSpacing w:val="1"/>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val="1"/>
    <w:unhideWhenUsed w:val="1"/>
    <w:rsid w:val="000A4362"/>
    <w:pPr>
      <w:spacing w:after="0" w:before="0"/>
    </w:pPr>
    <w:rPr>
      <w:sz w:val="20"/>
    </w:rPr>
  </w:style>
  <w:style w:type="character" w:styleId="FootnoteTextChar" w:customStyle="1">
    <w:name w:val="Footnote Text Char"/>
    <w:basedOn w:val="DefaultParagraphFont"/>
    <w:link w:val="FootnoteText"/>
    <w:uiPriority w:val="99"/>
    <w:semiHidden w:val="1"/>
    <w:rsid w:val="000A4362"/>
    <w:rPr>
      <w:rFonts w:ascii="Times New Roman" w:cs="Times New Roman" w:eastAsia="Times New Roman" w:hAnsi="Times New Roman"/>
      <w:snapToGrid w:val="0"/>
      <w:sz w:val="20"/>
      <w:szCs w:val="20"/>
      <w:lang w:val="en-US"/>
    </w:rPr>
  </w:style>
  <w:style w:type="character" w:styleId="FootnoteReference">
    <w:name w:val="footnote reference"/>
    <w:uiPriority w:val="99"/>
    <w:rsid w:val="000A4362"/>
    <w:rPr>
      <w:vertAlign w:val="superscript"/>
    </w:rPr>
  </w:style>
  <w:style w:type="paragraph" w:styleId="PRAGHeading2" w:customStyle="1">
    <w:name w:val="PRAG Heading 2"/>
    <w:basedOn w:val="Normal"/>
    <w:rsid w:val="00AA22A5"/>
    <w:pPr>
      <w:numPr>
        <w:numId w:val="7"/>
      </w:numPr>
    </w:pPr>
    <w:rPr>
      <w:lang w:val="fr-FR"/>
    </w:rPr>
  </w:style>
  <w:style w:type="paragraph" w:styleId="Default" w:customStyle="1">
    <w:name w:val="Default"/>
    <w:rsid w:val="00AA22A5"/>
    <w:pPr>
      <w:autoSpaceDE w:val="0"/>
      <w:autoSpaceDN w:val="0"/>
      <w:adjustRightInd w:val="0"/>
      <w:spacing w:after="0" w:line="240" w:lineRule="auto"/>
    </w:pPr>
    <w:rPr>
      <w:rFonts w:ascii="Minion Pro" w:cs="Minion Pro" w:eastAsia="Times New Roman" w:hAnsi="Minion Pro"/>
      <w:color w:val="000000"/>
      <w:sz w:val="24"/>
      <w:szCs w:val="24"/>
      <w:lang w:eastAsia="en-GB"/>
    </w:rPr>
  </w:style>
  <w:style w:type="paragraph" w:styleId="Header">
    <w:name w:val="header"/>
    <w:basedOn w:val="Normal"/>
    <w:link w:val="HeaderChar"/>
    <w:uiPriority w:val="99"/>
    <w:unhideWhenUsed w:val="1"/>
    <w:rsid w:val="00B2271A"/>
    <w:pPr>
      <w:tabs>
        <w:tab w:val="center" w:pos="4536"/>
        <w:tab w:val="right" w:pos="9072"/>
      </w:tabs>
      <w:spacing w:after="0" w:before="0"/>
    </w:pPr>
  </w:style>
  <w:style w:type="character" w:styleId="HeaderChar" w:customStyle="1">
    <w:name w:val="Header Char"/>
    <w:basedOn w:val="DefaultParagraphFont"/>
    <w:link w:val="Header"/>
    <w:uiPriority w:val="99"/>
    <w:rsid w:val="00B2271A"/>
    <w:rPr>
      <w:rFonts w:ascii="Times New Roman" w:cs="Times New Roman" w:eastAsia="Times New Roman" w:hAnsi="Times New Roman"/>
      <w:snapToGrid w:val="0"/>
      <w:sz w:val="24"/>
      <w:szCs w:val="20"/>
      <w:lang w:val="en-US"/>
    </w:rPr>
  </w:style>
  <w:style w:type="paragraph" w:styleId="Footer">
    <w:name w:val="footer"/>
    <w:basedOn w:val="Normal"/>
    <w:link w:val="FooterChar"/>
    <w:uiPriority w:val="99"/>
    <w:unhideWhenUsed w:val="1"/>
    <w:rsid w:val="00B2271A"/>
    <w:pPr>
      <w:tabs>
        <w:tab w:val="center" w:pos="4536"/>
        <w:tab w:val="right" w:pos="9072"/>
      </w:tabs>
      <w:spacing w:after="0" w:before="0"/>
    </w:pPr>
  </w:style>
  <w:style w:type="character" w:styleId="FooterChar" w:customStyle="1">
    <w:name w:val="Footer Char"/>
    <w:basedOn w:val="DefaultParagraphFont"/>
    <w:link w:val="Footer"/>
    <w:uiPriority w:val="99"/>
    <w:rsid w:val="00B2271A"/>
    <w:rPr>
      <w:rFonts w:ascii="Times New Roman" w:cs="Times New Roman" w:eastAsia="Times New Roman" w:hAnsi="Times New Roman"/>
      <w:snapToGrid w:val="0"/>
      <w:sz w:val="24"/>
      <w:szCs w:val="20"/>
      <w:lang w:val="en-US"/>
    </w:rPr>
  </w:style>
  <w:style w:type="paragraph" w:styleId="BalloonText">
    <w:name w:val="Balloon Text"/>
    <w:basedOn w:val="Normal"/>
    <w:link w:val="BalloonTextChar"/>
    <w:uiPriority w:val="99"/>
    <w:semiHidden w:val="1"/>
    <w:unhideWhenUsed w:val="1"/>
    <w:rsid w:val="009A3842"/>
    <w:pPr>
      <w:spacing w:after="0" w:before="0"/>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A3842"/>
    <w:rPr>
      <w:rFonts w:ascii="Tahoma" w:cs="Tahoma" w:eastAsia="Times New Roman" w:hAnsi="Tahoma"/>
      <w:snapToGrid w:val="0"/>
      <w:sz w:val="16"/>
      <w:szCs w:val="16"/>
      <w:lang w:val="en-US"/>
    </w:rPr>
  </w:style>
  <w:style w:type="character" w:styleId="CommentReference">
    <w:name w:val="annotation reference"/>
    <w:basedOn w:val="DefaultParagraphFont"/>
    <w:uiPriority w:val="99"/>
    <w:unhideWhenUsed w:val="1"/>
    <w:rsid w:val="00CC5DD2"/>
    <w:rPr>
      <w:sz w:val="16"/>
      <w:szCs w:val="16"/>
    </w:rPr>
  </w:style>
  <w:style w:type="paragraph" w:styleId="CommentText">
    <w:name w:val="annotation text"/>
    <w:basedOn w:val="Normal"/>
    <w:link w:val="CommentTextChar"/>
    <w:unhideWhenUsed w:val="1"/>
    <w:rsid w:val="00CC5DD2"/>
    <w:rPr>
      <w:sz w:val="20"/>
    </w:rPr>
  </w:style>
  <w:style w:type="character" w:styleId="CommentTextChar" w:customStyle="1">
    <w:name w:val="Comment Text Char"/>
    <w:basedOn w:val="DefaultParagraphFont"/>
    <w:link w:val="CommentText"/>
    <w:rsid w:val="00CC5DD2"/>
    <w:rPr>
      <w:rFonts w:ascii="Times New Roman" w:cs="Times New Roman" w:eastAsia="Times New Roman" w:hAnsi="Times New Roman"/>
      <w:snapToGrid w:val="0"/>
      <w:sz w:val="20"/>
      <w:szCs w:val="20"/>
      <w:lang w:val="en-US"/>
    </w:rPr>
  </w:style>
  <w:style w:type="paragraph" w:styleId="CommentSubject">
    <w:name w:val="annotation subject"/>
    <w:basedOn w:val="CommentText"/>
    <w:next w:val="CommentText"/>
    <w:link w:val="CommentSubjectChar"/>
    <w:uiPriority w:val="99"/>
    <w:semiHidden w:val="1"/>
    <w:unhideWhenUsed w:val="1"/>
    <w:rsid w:val="00CC5DD2"/>
    <w:rPr>
      <w:b w:val="1"/>
      <w:bCs w:val="1"/>
    </w:rPr>
  </w:style>
  <w:style w:type="character" w:styleId="CommentSubjectChar" w:customStyle="1">
    <w:name w:val="Comment Subject Char"/>
    <w:basedOn w:val="CommentTextChar"/>
    <w:link w:val="CommentSubject"/>
    <w:uiPriority w:val="99"/>
    <w:semiHidden w:val="1"/>
    <w:rsid w:val="00CC5DD2"/>
    <w:rPr>
      <w:rFonts w:ascii="Times New Roman" w:cs="Times New Roman" w:eastAsia="Times New Roman" w:hAnsi="Times New Roman"/>
      <w:b w:val="1"/>
      <w:bCs w:val="1"/>
      <w:snapToGrid w:val="0"/>
      <w:sz w:val="20"/>
      <w:szCs w:val="20"/>
      <w:lang w:val="en-US"/>
    </w:rPr>
  </w:style>
  <w:style w:type="character" w:styleId="Heading4Char" w:customStyle="1">
    <w:name w:val="Heading 4 Char"/>
    <w:basedOn w:val="DefaultParagraphFont"/>
    <w:link w:val="Heading4"/>
    <w:rsid w:val="001916FC"/>
    <w:rPr>
      <w:rFonts w:ascii="Times New Roman" w:cs="Times New Roman" w:eastAsia="Times New Roman" w:hAnsi="Times New Roman"/>
      <w:snapToGrid w:val="0"/>
    </w:rPr>
  </w:style>
  <w:style w:type="character" w:styleId="Definition" w:customStyle="1">
    <w:name w:val="Definition"/>
    <w:rsid w:val="00E8713A"/>
    <w:rPr>
      <w:i w:val="1"/>
    </w:rPr>
  </w:style>
  <w:style w:type="paragraph" w:styleId="H6" w:customStyle="1">
    <w:name w:val="H6"/>
    <w:basedOn w:val="Normal"/>
    <w:next w:val="Normal"/>
    <w:rsid w:val="000557AC"/>
    <w:pPr>
      <w:keepNext w:val="1"/>
      <w:outlineLvl w:val="6"/>
    </w:pPr>
    <w:rPr>
      <w:b w:val="1"/>
      <w:sz w:val="16"/>
    </w:rPr>
  </w:style>
  <w:style w:type="character" w:styleId="FollowedHyperlink">
    <w:name w:val="FollowedHyperlink"/>
    <w:basedOn w:val="DefaultParagraphFont"/>
    <w:uiPriority w:val="99"/>
    <w:semiHidden w:val="1"/>
    <w:unhideWhenUsed w:val="1"/>
    <w:rsid w:val="00757D90"/>
    <w:rPr>
      <w:color w:val="800080" w:themeColor="followedHyperlink"/>
      <w:u w:val="single"/>
    </w:rPr>
  </w:style>
  <w:style w:type="paragraph" w:styleId="DefinitionTerm" w:customStyle="1">
    <w:name w:val="Definition Term"/>
    <w:basedOn w:val="Normal"/>
    <w:next w:val="Normal"/>
    <w:rsid w:val="00337E2A"/>
    <w:pPr>
      <w:spacing w:after="0" w:before="0"/>
    </w:pPr>
  </w:style>
  <w:style w:type="paragraph" w:styleId="Revision">
    <w:name w:val="Revision"/>
    <w:hidden w:val="1"/>
    <w:uiPriority w:val="99"/>
    <w:semiHidden w:val="1"/>
    <w:rsid w:val="00401FE1"/>
    <w:pPr>
      <w:spacing w:after="0" w:line="240" w:lineRule="auto"/>
    </w:pPr>
    <w:rPr>
      <w:rFonts w:ascii="Times New Roman" w:cs="Times New Roman" w:eastAsia="Times New Roman" w:hAnsi="Times New Roman"/>
      <w:snapToGrid w:val="0"/>
      <w:sz w:val="24"/>
      <w:szCs w:val="20"/>
      <w:lang w:val="en-US"/>
    </w:rPr>
  </w:style>
  <w:style w:type="paragraph" w:styleId="Subtitle">
    <w:name w:val="Subtitle"/>
    <w:basedOn w:val="Normal"/>
    <w:link w:val="SubtitleChar"/>
    <w:qFormat w:val="1"/>
    <w:rsid w:val="004759A5"/>
    <w:pPr>
      <w:widowControl w:val="1"/>
      <w:spacing w:after="120" w:before="120"/>
      <w:jc w:val="center"/>
    </w:pPr>
    <w:rPr>
      <w:rFonts w:ascii="Arial" w:hAnsi="Arial"/>
      <w:b w:val="1"/>
      <w:sz w:val="28"/>
      <w:lang w:val="fr-BE"/>
    </w:rPr>
  </w:style>
  <w:style w:type="character" w:styleId="SubtitleChar" w:customStyle="1">
    <w:name w:val="Subtitle Char"/>
    <w:basedOn w:val="DefaultParagraphFont"/>
    <w:link w:val="Subtitle"/>
    <w:rsid w:val="004759A5"/>
    <w:rPr>
      <w:rFonts w:ascii="Arial" w:cs="Times New Roman" w:eastAsia="Times New Roman" w:hAnsi="Arial"/>
      <w:b w:val="1"/>
      <w:snapToGrid w:val="0"/>
      <w:sz w:val="28"/>
      <w:szCs w:val="20"/>
      <w:lang w:val="fr-BE"/>
    </w:rPr>
  </w:style>
  <w:style w:type="paragraph" w:styleId="BodyText">
    <w:name w:val="Body Text"/>
    <w:basedOn w:val="Normal"/>
    <w:link w:val="BodyTextChar"/>
    <w:rsid w:val="006A0BB1"/>
    <w:pPr>
      <w:widowControl w:val="1"/>
      <w:spacing w:after="0" w:before="0"/>
    </w:pPr>
    <w:rPr>
      <w:snapToGrid w:val="1"/>
      <w:lang w:eastAsia="en-GB" w:val="en-GB"/>
    </w:rPr>
  </w:style>
  <w:style w:type="character" w:styleId="BodyTextChar" w:customStyle="1">
    <w:name w:val="Body Text Char"/>
    <w:basedOn w:val="DefaultParagraphFont"/>
    <w:link w:val="BodyText"/>
    <w:rsid w:val="006A0BB1"/>
    <w:rPr>
      <w:rFonts w:ascii="Times New Roman" w:cs="Times New Roman" w:eastAsia="Times New Roman" w:hAnsi="Times New Roman"/>
      <w:sz w:val="24"/>
      <w:szCs w:val="20"/>
      <w:lang w:eastAsia="en-GB"/>
    </w:rPr>
  </w:style>
  <w:style w:type="paragraph" w:styleId="Subtitle">
    <w:name w:val="Subtitle"/>
    <w:basedOn w:val="Normal"/>
    <w:next w:val="Normal"/>
    <w:pPr>
      <w:widowControl w:val="1"/>
      <w:spacing w:after="120" w:before="120" w:lineRule="auto"/>
      <w:jc w:val="center"/>
    </w:pPr>
    <w:rPr>
      <w:rFonts w:ascii="Arial" w:cs="Arial" w:eastAsia="Arial" w:hAnsi="Arial"/>
      <w:b w:val="1"/>
      <w:sz w:val="28"/>
      <w:szCs w:val="28"/>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mailto:bojana.nedovic@kirs.gov.rs" TargetMode="External"/><Relationship Id="rId10" Type="http://schemas.openxmlformats.org/officeDocument/2006/relationships/hyperlink" Target="https://kirs.gov.rs/cir/javne-nabavke/otvoreni-postupak/0" TargetMode="External"/><Relationship Id="rId13" Type="http://schemas.openxmlformats.org/officeDocument/2006/relationships/hyperlink" Target="http://ec.europa.eu/budget/graphs/inforeuro.html" TargetMode="External"/><Relationship Id="rId12" Type="http://schemas.openxmlformats.org/officeDocument/2006/relationships/hyperlink" Target="https://kirs.gov.rs/cir/javne-nabavke/otvoreni-postupak/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5" Type="http://schemas.openxmlformats.org/officeDocument/2006/relationships/header" Target="header1.xml"/><Relationship Id="rId14" Type="http://schemas.openxmlformats.org/officeDocument/2006/relationships/hyperlink" Target="mailto:bojana.nedovic@kirs.gov.rs" TargetMode="External"/><Relationship Id="rId17" Type="http://schemas.openxmlformats.org/officeDocument/2006/relationships/header" Target="header2.xml"/><Relationship Id="rId16" Type="http://schemas.openxmlformats.org/officeDocument/2006/relationships/header" Target="header3.xm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3.xml"/><Relationship Id="rId7" Type="http://schemas.openxmlformats.org/officeDocument/2006/relationships/customXml" Target="../customXML/item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qHdgZCCcscO5d+1meOxB8dYIWw==">AMUW2mVHFekJR51NWwgPqM0iGGaD66a3KcC3S3+c2D3H0JBX8f+jCuFPczAHMwX9pFad+pgh7oaXfPy9ZfQFun+8i5GcihlQzLs2cdmPAi8JZW+UHJ4rPH1VjFXUy/TM4lvJOLSgLZob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creator>REYNOLDS Paul (DEVCO)</dc:creator>
</cp:coreProperties>
</file>